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6CF8" w14:textId="3C280B01" w:rsidR="00023140" w:rsidRDefault="00023140" w:rsidP="00B44551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LINCOLN COUNTY</w:t>
      </w:r>
    </w:p>
    <w:p w14:paraId="30800143" w14:textId="38CE56BD" w:rsidR="00684CD2" w:rsidRPr="005F45B8" w:rsidRDefault="0061661E" w:rsidP="00B44551">
      <w:pPr>
        <w:pStyle w:val="Title"/>
        <w:jc w:val="center"/>
        <w:rPr>
          <w:sz w:val="44"/>
          <w:szCs w:val="44"/>
        </w:rPr>
      </w:pPr>
      <w:r w:rsidRPr="005F45B8">
        <w:rPr>
          <w:sz w:val="44"/>
          <w:szCs w:val="44"/>
        </w:rPr>
        <w:t>Property Tax Abatement</w:t>
      </w:r>
      <w:r w:rsidR="005F45B8">
        <w:rPr>
          <w:sz w:val="44"/>
          <w:szCs w:val="44"/>
        </w:rPr>
        <w:t xml:space="preserve"> </w:t>
      </w:r>
      <w:r w:rsidRPr="005F45B8">
        <w:rPr>
          <w:sz w:val="44"/>
          <w:szCs w:val="44"/>
        </w:rPr>
        <w:t>and Appeals Procedures</w:t>
      </w:r>
    </w:p>
    <w:p w14:paraId="39BD350B" w14:textId="77777777" w:rsidR="00684CD2" w:rsidRDefault="0061661E">
      <w:pPr>
        <w:pStyle w:val="Heading1"/>
      </w:pPr>
      <w:r>
        <w:t>Overview</w:t>
      </w:r>
    </w:p>
    <w:p w14:paraId="2AA8A856" w14:textId="104C9EBA" w:rsidR="00684CD2" w:rsidRDefault="0061661E">
      <w:r>
        <w:t xml:space="preserve">Property owners are encouraged to review their annual property assessments, including land, building values, and exemptions. </w:t>
      </w:r>
      <w:r w:rsidR="005F45B8">
        <w:t xml:space="preserve"> </w:t>
      </w:r>
      <w:r>
        <w:t xml:space="preserve">By law, abatement requests must be submitted within 185 days of the tax commitment date. </w:t>
      </w:r>
      <w:r w:rsidR="005F45B8">
        <w:t xml:space="preserve"> </w:t>
      </w:r>
      <w:r>
        <w:t>The Board of Assessors may only grant abatements within 365 days of that date.</w:t>
      </w:r>
    </w:p>
    <w:p w14:paraId="234EADB5" w14:textId="6671F3F3" w:rsidR="00684CD2" w:rsidRDefault="0061661E">
      <w:r>
        <w:t>If you believe your property is overvalued or contains assessment errors, you may request an abatement.</w:t>
      </w:r>
      <w:r w:rsidR="005F45B8">
        <w:t xml:space="preserve"> </w:t>
      </w:r>
      <w:r>
        <w:t xml:space="preserve"> However, disagreement alone is insufficient; you must provide credible evidence that the assessment is incorrect.</w:t>
      </w:r>
    </w:p>
    <w:p w14:paraId="1C6AB0A7" w14:textId="77777777" w:rsidR="00684CD2" w:rsidRDefault="0061661E" w:rsidP="00023140">
      <w:pPr>
        <w:pStyle w:val="Heading1"/>
        <w:spacing w:before="240"/>
      </w:pPr>
      <w:r>
        <w:t>Grounds for Abatement</w:t>
      </w:r>
    </w:p>
    <w:p w14:paraId="4407BD7A" w14:textId="77777777" w:rsidR="00684CD2" w:rsidRDefault="0061661E">
      <w:r>
        <w:t>Valid reasons include:</w:t>
      </w:r>
    </w:p>
    <w:p w14:paraId="77FCBDBE" w14:textId="51BF6597" w:rsidR="00684CD2" w:rsidRDefault="0061661E" w:rsidP="00B44551">
      <w:pPr>
        <w:pStyle w:val="ListParagraph"/>
        <w:numPr>
          <w:ilvl w:val="0"/>
          <w:numId w:val="13"/>
        </w:numPr>
      </w:pPr>
      <w:r>
        <w:t>Assessed value significantly exceeds market value</w:t>
      </w:r>
    </w:p>
    <w:p w14:paraId="36082CB7" w14:textId="36A928FF" w:rsidR="00684CD2" w:rsidRDefault="0061661E" w:rsidP="00B44551">
      <w:pPr>
        <w:pStyle w:val="ListParagraph"/>
        <w:numPr>
          <w:ilvl w:val="0"/>
          <w:numId w:val="13"/>
        </w:numPr>
      </w:pPr>
      <w:r>
        <w:t>Assessment is inconsistent with similar properties</w:t>
      </w:r>
    </w:p>
    <w:p w14:paraId="72A84AB5" w14:textId="1296A1FF" w:rsidR="00684CD2" w:rsidRDefault="0061661E" w:rsidP="00B44551">
      <w:pPr>
        <w:pStyle w:val="ListParagraph"/>
        <w:numPr>
          <w:ilvl w:val="0"/>
          <w:numId w:val="13"/>
        </w:numPr>
      </w:pPr>
      <w:r>
        <w:t>Clerical errors in the assessment</w:t>
      </w:r>
    </w:p>
    <w:p w14:paraId="3D4706FA" w14:textId="77777777" w:rsidR="00684CD2" w:rsidRDefault="0061661E">
      <w:r>
        <w:t>Invalid reasons include:</w:t>
      </w:r>
    </w:p>
    <w:p w14:paraId="68E37D29" w14:textId="37D16192" w:rsidR="00684CD2" w:rsidRDefault="0061661E" w:rsidP="00B44551">
      <w:pPr>
        <w:pStyle w:val="ListParagraph"/>
        <w:numPr>
          <w:ilvl w:val="0"/>
          <w:numId w:val="14"/>
        </w:numPr>
      </w:pPr>
      <w:r>
        <w:t>Inability to pay taxes</w:t>
      </w:r>
    </w:p>
    <w:p w14:paraId="7A456DA6" w14:textId="7698DEC6" w:rsidR="00684CD2" w:rsidRDefault="0061661E" w:rsidP="00B44551">
      <w:pPr>
        <w:pStyle w:val="ListParagraph"/>
        <w:numPr>
          <w:ilvl w:val="0"/>
          <w:numId w:val="14"/>
        </w:numPr>
      </w:pPr>
      <w:r>
        <w:t>Disagreement with tax rates or budget decisions</w:t>
      </w:r>
    </w:p>
    <w:p w14:paraId="548C7EC0" w14:textId="61A74FBC" w:rsidR="00684CD2" w:rsidRDefault="0061661E" w:rsidP="00B44551">
      <w:pPr>
        <w:pStyle w:val="ListParagraph"/>
        <w:numPr>
          <w:ilvl w:val="0"/>
          <w:numId w:val="14"/>
        </w:numPr>
      </w:pPr>
      <w:r>
        <w:t>Increase in assessed value from the previous year</w:t>
      </w:r>
    </w:p>
    <w:p w14:paraId="2CE778EC" w14:textId="78B44B3D" w:rsidR="00684CD2" w:rsidRDefault="0061661E">
      <w:r>
        <w:t xml:space="preserve">Refer to </w:t>
      </w:r>
      <w:r w:rsidRPr="007308B4">
        <w:t xml:space="preserve">the </w:t>
      </w:r>
      <w:hyperlink r:id="rId8" w:tgtFrame="_blank" w:history="1">
        <w:r w:rsidRPr="007308B4">
          <w:rPr>
            <w:rStyle w:val="Hyperlink"/>
          </w:rPr>
          <w:t>Maine Revenue Services Property Tax Division Bulletin No. 10</w:t>
        </w:r>
      </w:hyperlink>
      <w:r>
        <w:t xml:space="preserve"> for detailed guidance.</w:t>
      </w:r>
    </w:p>
    <w:p w14:paraId="4716C229" w14:textId="7AA5EAA8" w:rsidR="00684CD2" w:rsidRDefault="0061661E" w:rsidP="00023140">
      <w:pPr>
        <w:pStyle w:val="Heading1"/>
        <w:spacing w:before="240"/>
      </w:pPr>
      <w:r>
        <w:t>Submitting an Abatement Request</w:t>
      </w:r>
      <w:r w:rsidR="005F45B8">
        <w:t xml:space="preserve"> to your Municipality</w:t>
      </w:r>
    </w:p>
    <w:p w14:paraId="4F238339" w14:textId="3587CF66" w:rsidR="00684CD2" w:rsidRDefault="0061661E" w:rsidP="005F45B8">
      <w:pPr>
        <w:pStyle w:val="ListParagraph"/>
        <w:numPr>
          <w:ilvl w:val="0"/>
          <w:numId w:val="22"/>
        </w:numPr>
      </w:pPr>
      <w:r>
        <w:t>Understand the Law: Review state guidelines and gather supporting documentation.</w:t>
      </w:r>
    </w:p>
    <w:p w14:paraId="206E03DE" w14:textId="695F523B" w:rsidR="00684CD2" w:rsidRDefault="0061661E" w:rsidP="005F45B8">
      <w:pPr>
        <w:pStyle w:val="ListParagraph"/>
        <w:numPr>
          <w:ilvl w:val="0"/>
          <w:numId w:val="22"/>
        </w:numPr>
      </w:pPr>
      <w:r>
        <w:t xml:space="preserve">Consult the </w:t>
      </w:r>
      <w:r w:rsidR="005F45B8">
        <w:t xml:space="preserve">Municipality’s </w:t>
      </w:r>
      <w:r>
        <w:t>Assessors’ Agent: Discuss your concerns and request guidance on evidence requirements.</w:t>
      </w:r>
    </w:p>
    <w:p w14:paraId="37970D2D" w14:textId="5FBCE1BE" w:rsidR="00684CD2" w:rsidRDefault="0061661E" w:rsidP="005F45B8">
      <w:pPr>
        <w:pStyle w:val="ListParagraph"/>
        <w:numPr>
          <w:ilvl w:val="0"/>
          <w:numId w:val="22"/>
        </w:numPr>
      </w:pPr>
      <w:r>
        <w:t>Verify Property Data: Review your property card for accuracy and request corrections if needed.</w:t>
      </w:r>
    </w:p>
    <w:p w14:paraId="38E153A9" w14:textId="42798BD9" w:rsidR="00684CD2" w:rsidRDefault="0061661E" w:rsidP="005F45B8">
      <w:pPr>
        <w:pStyle w:val="ListParagraph"/>
        <w:numPr>
          <w:ilvl w:val="0"/>
          <w:numId w:val="22"/>
        </w:numPr>
      </w:pPr>
      <w:r>
        <w:t>Compare Valuations: Use the town’s valuation book to compare your property with similar ones, considering all relevant factors.</w:t>
      </w:r>
    </w:p>
    <w:p w14:paraId="37534BD8" w14:textId="77777777" w:rsidR="00684CD2" w:rsidRDefault="0061661E" w:rsidP="005F45B8">
      <w:pPr>
        <w:pStyle w:val="ListParagraph"/>
        <w:numPr>
          <w:ilvl w:val="0"/>
          <w:numId w:val="22"/>
        </w:numPr>
      </w:pPr>
      <w:r>
        <w:t>Supporting Evidence May Include:</w:t>
      </w:r>
    </w:p>
    <w:p w14:paraId="119161F5" w14:textId="48CEF6C9" w:rsidR="00684CD2" w:rsidRDefault="0061661E" w:rsidP="005F45B8">
      <w:pPr>
        <w:pStyle w:val="ListParagraph"/>
        <w:numPr>
          <w:ilvl w:val="2"/>
          <w:numId w:val="23"/>
        </w:numPr>
      </w:pPr>
      <w:r>
        <w:t xml:space="preserve">Recent </w:t>
      </w:r>
      <w:r w:rsidR="00B44551">
        <w:t xml:space="preserve">record of </w:t>
      </w:r>
      <w:proofErr w:type="gramStart"/>
      <w:r>
        <w:t>sale</w:t>
      </w:r>
      <w:proofErr w:type="gramEnd"/>
      <w:r>
        <w:t xml:space="preserve"> of </w:t>
      </w:r>
      <w:proofErr w:type="gramStart"/>
      <w:r>
        <w:t>the property</w:t>
      </w:r>
      <w:proofErr w:type="gramEnd"/>
      <w:r>
        <w:t xml:space="preserve"> or comparable sales</w:t>
      </w:r>
    </w:p>
    <w:p w14:paraId="1167A83B" w14:textId="326AC6F1" w:rsidR="00684CD2" w:rsidRDefault="0061661E" w:rsidP="005F45B8">
      <w:pPr>
        <w:pStyle w:val="ListParagraph"/>
        <w:numPr>
          <w:ilvl w:val="2"/>
          <w:numId w:val="23"/>
        </w:numPr>
      </w:pPr>
      <w:r>
        <w:t>Licensed appraisal</w:t>
      </w:r>
    </w:p>
    <w:p w14:paraId="50ADAA10" w14:textId="455EC9AB" w:rsidR="00684CD2" w:rsidRDefault="0061661E" w:rsidP="005F45B8">
      <w:pPr>
        <w:pStyle w:val="ListParagraph"/>
        <w:numPr>
          <w:ilvl w:val="2"/>
          <w:numId w:val="23"/>
        </w:numPr>
      </w:pPr>
      <w:r>
        <w:t>Income and expense data (for income-producing properties)</w:t>
      </w:r>
    </w:p>
    <w:p w14:paraId="3161FE5B" w14:textId="606B6ED9" w:rsidR="00684CD2" w:rsidRDefault="0061661E" w:rsidP="005F45B8">
      <w:pPr>
        <w:pStyle w:val="ListParagraph"/>
        <w:numPr>
          <w:ilvl w:val="2"/>
          <w:numId w:val="23"/>
        </w:numPr>
      </w:pPr>
      <w:r>
        <w:t>Surveys or other documentation disputing town records</w:t>
      </w:r>
    </w:p>
    <w:p w14:paraId="1767BB08" w14:textId="77777777" w:rsidR="00684CD2" w:rsidRDefault="0061661E">
      <w:r>
        <w:t>Submit the Application for Abatement to your town office within 185 days of the commitment date.</w:t>
      </w:r>
    </w:p>
    <w:p w14:paraId="09C671E6" w14:textId="61A8DAD6" w:rsidR="0061661E" w:rsidRDefault="00023140" w:rsidP="0061661E">
      <w:pPr>
        <w:pStyle w:val="ListParagraph"/>
        <w:numPr>
          <w:ilvl w:val="0"/>
          <w:numId w:val="24"/>
        </w:numPr>
      </w:pPr>
      <w:r w:rsidRPr="00023140">
        <w:t xml:space="preserve">State of Maine </w:t>
      </w:r>
      <w:hyperlink r:id="rId9" w:tgtFrame="_blank" w:history="1">
        <w:r w:rsidR="0061661E" w:rsidRPr="007308B4">
          <w:rPr>
            <w:rStyle w:val="Hyperlink"/>
          </w:rPr>
          <w:t>Application for Abatement</w:t>
        </w:r>
      </w:hyperlink>
    </w:p>
    <w:p w14:paraId="017EF0CF" w14:textId="3E2C9EE3" w:rsidR="00684CD2" w:rsidRDefault="005F45B8">
      <w:pPr>
        <w:pStyle w:val="Heading1"/>
      </w:pPr>
      <w:r>
        <w:lastRenderedPageBreak/>
        <w:t xml:space="preserve">Municipality </w:t>
      </w:r>
      <w:r w:rsidR="0061661E">
        <w:t>Review Process</w:t>
      </w:r>
    </w:p>
    <w:p w14:paraId="7DE8F2F0" w14:textId="624E9BB6" w:rsidR="00684CD2" w:rsidRDefault="0061661E" w:rsidP="00B44551">
      <w:pPr>
        <w:pStyle w:val="ListParagraph"/>
        <w:numPr>
          <w:ilvl w:val="0"/>
          <w:numId w:val="19"/>
        </w:numPr>
      </w:pPr>
      <w:r>
        <w:t>The Assessors’ Agent presents your request to the Board of Assessors within 60 days.</w:t>
      </w:r>
    </w:p>
    <w:p w14:paraId="6CBCD4CD" w14:textId="2D3B89C0" w:rsidR="00684CD2" w:rsidRDefault="0061661E" w:rsidP="00B44551">
      <w:pPr>
        <w:pStyle w:val="ListParagraph"/>
        <w:numPr>
          <w:ilvl w:val="0"/>
          <w:numId w:val="19"/>
        </w:numPr>
      </w:pPr>
      <w:r>
        <w:t>A decision is issued within 60 days of application receipt.</w:t>
      </w:r>
      <w:r w:rsidR="00B44551">
        <w:t xml:space="preserve"> </w:t>
      </w:r>
      <w:r>
        <w:t xml:space="preserve"> If not, the request is considered denied.</w:t>
      </w:r>
    </w:p>
    <w:p w14:paraId="233CAC58" w14:textId="70F19251" w:rsidR="00684CD2" w:rsidRDefault="0061661E" w:rsidP="00B44551">
      <w:pPr>
        <w:pStyle w:val="ListParagraph"/>
        <w:numPr>
          <w:ilvl w:val="0"/>
          <w:numId w:val="19"/>
        </w:numPr>
      </w:pPr>
      <w:r>
        <w:t xml:space="preserve">Approved tax </w:t>
      </w:r>
      <w:proofErr w:type="gramStart"/>
      <w:r>
        <w:t>abatements</w:t>
      </w:r>
      <w:proofErr w:type="gramEnd"/>
      <w:r>
        <w:t xml:space="preserve"> are processed by the Tax Collector.</w:t>
      </w:r>
      <w:r w:rsidR="00B44551">
        <w:t xml:space="preserve"> </w:t>
      </w:r>
      <w:r>
        <w:t xml:space="preserve"> Denied requests may be appealed.</w:t>
      </w:r>
    </w:p>
    <w:p w14:paraId="69AC66C9" w14:textId="0442AF75" w:rsidR="00684CD2" w:rsidRDefault="0061661E" w:rsidP="00023140">
      <w:pPr>
        <w:pStyle w:val="Heading1"/>
        <w:spacing w:before="240"/>
      </w:pPr>
      <w:r>
        <w:t>Appealing</w:t>
      </w:r>
      <w:r w:rsidR="005F45B8">
        <w:t xml:space="preserve"> </w:t>
      </w:r>
      <w:r>
        <w:t>to the Lincoln County Commissioners</w:t>
      </w:r>
    </w:p>
    <w:p w14:paraId="3F5CCDCF" w14:textId="77777777" w:rsidR="00023140" w:rsidRDefault="0061661E">
      <w:r>
        <w:t>If denied, you may appeal to the Lincoln County Commissioners within 60 days</w:t>
      </w:r>
      <w:r w:rsidR="00023140">
        <w:t xml:space="preserve"> </w:t>
      </w:r>
      <w:proofErr w:type="gramStart"/>
      <w:r w:rsidR="00023140">
        <w:t>from</w:t>
      </w:r>
      <w:proofErr w:type="gramEnd"/>
      <w:r w:rsidR="00023140">
        <w:t xml:space="preserve"> the decision or denial by the Municipality Assessors</w:t>
      </w:r>
      <w:r>
        <w:t xml:space="preserve">. </w:t>
      </w:r>
      <w:r w:rsidR="00B44551">
        <w:t xml:space="preserve"> </w:t>
      </w:r>
    </w:p>
    <w:p w14:paraId="15F01D6A" w14:textId="781E5982" w:rsidR="00684CD2" w:rsidRDefault="0061661E">
      <w:r>
        <w:t>Submit a complete Lincoln County Tax Abatement Application with:</w:t>
      </w:r>
    </w:p>
    <w:p w14:paraId="37A530AB" w14:textId="37CB8345" w:rsidR="00684CD2" w:rsidRDefault="00023140" w:rsidP="00B44551">
      <w:pPr>
        <w:pStyle w:val="ListParagraph"/>
        <w:numPr>
          <w:ilvl w:val="0"/>
          <w:numId w:val="20"/>
        </w:numPr>
      </w:pPr>
      <w:r>
        <w:t>Copy of current year’s</w:t>
      </w:r>
      <w:r w:rsidR="0061661E">
        <w:t xml:space="preserve"> tax bill</w:t>
      </w:r>
      <w:r>
        <w:t xml:space="preserve"> and previous year’s tax bill</w:t>
      </w:r>
    </w:p>
    <w:p w14:paraId="5748DCB2" w14:textId="6E634CAE" w:rsidR="00684CD2" w:rsidRDefault="0061661E" w:rsidP="00B44551">
      <w:pPr>
        <w:pStyle w:val="ListParagraph"/>
        <w:numPr>
          <w:ilvl w:val="0"/>
          <w:numId w:val="20"/>
        </w:numPr>
      </w:pPr>
      <w:r>
        <w:t>Municipal abatement application</w:t>
      </w:r>
      <w:r w:rsidR="00023140">
        <w:t xml:space="preserve"> </w:t>
      </w:r>
      <w:hyperlink r:id="rId10" w:history="1">
        <w:r w:rsidR="00023140">
          <w:rPr>
            <w:rStyle w:val="Hyperlink"/>
          </w:rPr>
          <w:t>Lincoln County Tax Abatement Application</w:t>
        </w:r>
      </w:hyperlink>
      <w:r w:rsidR="00023140">
        <w:t>.</w:t>
      </w:r>
    </w:p>
    <w:p w14:paraId="05F44701" w14:textId="2D879AD8" w:rsidR="00023140" w:rsidRDefault="00023140" w:rsidP="00B44551">
      <w:pPr>
        <w:pStyle w:val="ListParagraph"/>
        <w:numPr>
          <w:ilvl w:val="0"/>
          <w:numId w:val="20"/>
        </w:numPr>
      </w:pPr>
      <w:r>
        <w:t>Photograph(s) of property</w:t>
      </w:r>
    </w:p>
    <w:p w14:paraId="21478AEF" w14:textId="56E94C92" w:rsidR="00684CD2" w:rsidRDefault="0061661E" w:rsidP="00B44551">
      <w:pPr>
        <w:pStyle w:val="ListParagraph"/>
        <w:numPr>
          <w:ilvl w:val="0"/>
          <w:numId w:val="20"/>
        </w:numPr>
      </w:pPr>
      <w:r>
        <w:t>Written denial from the municipality</w:t>
      </w:r>
    </w:p>
    <w:p w14:paraId="721434F9" w14:textId="7A8D6002" w:rsidR="00023140" w:rsidRDefault="00023140" w:rsidP="00B44551">
      <w:pPr>
        <w:pStyle w:val="ListParagraph"/>
        <w:numPr>
          <w:ilvl w:val="0"/>
          <w:numId w:val="20"/>
        </w:numPr>
      </w:pPr>
      <w:r>
        <w:t>Any other documents that support your application</w:t>
      </w:r>
    </w:p>
    <w:p w14:paraId="50A9A660" w14:textId="77777777" w:rsidR="00684CD2" w:rsidRDefault="0061661E">
      <w:r>
        <w:t>Incomplete applications may be rejected. The property owner bears the burden of proof.</w:t>
      </w:r>
    </w:p>
    <w:p w14:paraId="17608985" w14:textId="77777777" w:rsidR="00684CD2" w:rsidRDefault="0061661E">
      <w:r>
        <w:t>Appeal Process:</w:t>
      </w:r>
    </w:p>
    <w:p w14:paraId="42188FDA" w14:textId="3C7DD078" w:rsidR="0061661E" w:rsidRDefault="0061661E" w:rsidP="00B44551">
      <w:pPr>
        <w:pStyle w:val="ListParagraph"/>
        <w:numPr>
          <w:ilvl w:val="0"/>
          <w:numId w:val="21"/>
        </w:numPr>
      </w:pPr>
      <w:r>
        <w:t xml:space="preserve">A hearing is scheduled within 60 days of receiving a complete application </w:t>
      </w:r>
      <w:r w:rsidR="00023140">
        <w:t>(an extension may be issued</w:t>
      </w:r>
    </w:p>
    <w:p w14:paraId="242CF34F" w14:textId="1C70E6B4" w:rsidR="00684CD2" w:rsidRDefault="0061661E" w:rsidP="00B44551">
      <w:pPr>
        <w:pStyle w:val="ListParagraph"/>
        <w:numPr>
          <w:ilvl w:val="0"/>
          <w:numId w:val="21"/>
        </w:numPr>
      </w:pPr>
      <w:r>
        <w:t>Both parties, the Property Owners and the Municipality, will present their cases under oath.</w:t>
      </w:r>
    </w:p>
    <w:p w14:paraId="6B7EE601" w14:textId="590BE68D" w:rsidR="00684CD2" w:rsidRDefault="0061661E" w:rsidP="00B44551">
      <w:pPr>
        <w:pStyle w:val="ListParagraph"/>
        <w:numPr>
          <w:ilvl w:val="0"/>
          <w:numId w:val="21"/>
        </w:numPr>
      </w:pPr>
      <w:r>
        <w:t>A written decision is issued within 30 days of the hearing.</w:t>
      </w:r>
    </w:p>
    <w:p w14:paraId="7E4A9910" w14:textId="746094EC" w:rsidR="00684CD2" w:rsidRDefault="0061661E">
      <w:r>
        <w:t>Further appeals may be made to the Superior Court of the State of Maine within 30 days of the County Commissioners’ decision.</w:t>
      </w:r>
    </w:p>
    <w:sectPr w:rsidR="00684CD2" w:rsidSect="00023140">
      <w:headerReference w:type="default" r:id="rId11"/>
      <w:footerReference w:type="default" r:id="rId12"/>
      <w:pgSz w:w="12240" w:h="15840"/>
      <w:pgMar w:top="1152" w:right="1152" w:bottom="1152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61CD" w14:textId="77777777" w:rsidR="00023140" w:rsidRDefault="00023140" w:rsidP="00023140">
      <w:pPr>
        <w:spacing w:after="0" w:line="240" w:lineRule="auto"/>
      </w:pPr>
      <w:r>
        <w:separator/>
      </w:r>
    </w:p>
  </w:endnote>
  <w:endnote w:type="continuationSeparator" w:id="0">
    <w:p w14:paraId="4B281057" w14:textId="77777777" w:rsidR="00023140" w:rsidRDefault="00023140" w:rsidP="0002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655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1C19D6" w14:textId="7CD46BB2" w:rsidR="00023140" w:rsidRDefault="000231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9904FB" w14:textId="4A7ABCE8" w:rsidR="00023140" w:rsidRDefault="00023140" w:rsidP="0002314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5C91" w14:textId="77777777" w:rsidR="00023140" w:rsidRDefault="00023140" w:rsidP="00023140">
      <w:pPr>
        <w:spacing w:after="0" w:line="240" w:lineRule="auto"/>
      </w:pPr>
      <w:r>
        <w:separator/>
      </w:r>
    </w:p>
  </w:footnote>
  <w:footnote w:type="continuationSeparator" w:id="0">
    <w:p w14:paraId="146B8417" w14:textId="77777777" w:rsidR="00023140" w:rsidRDefault="00023140" w:rsidP="0002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469B" w14:textId="5BFD5605" w:rsidR="00023140" w:rsidRDefault="00023140" w:rsidP="00023140">
    <w:pPr>
      <w:pStyle w:val="Header"/>
      <w:jc w:val="right"/>
    </w:pPr>
    <w:r>
      <w:t>v.11.25.25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D7A13"/>
    <w:multiLevelType w:val="hybridMultilevel"/>
    <w:tmpl w:val="1674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84960"/>
    <w:multiLevelType w:val="hybridMultilevel"/>
    <w:tmpl w:val="72F0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81276"/>
    <w:multiLevelType w:val="hybridMultilevel"/>
    <w:tmpl w:val="4604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6C73"/>
    <w:multiLevelType w:val="hybridMultilevel"/>
    <w:tmpl w:val="792A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2282C"/>
    <w:multiLevelType w:val="hybridMultilevel"/>
    <w:tmpl w:val="CABC1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12FB8C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277D"/>
    <w:multiLevelType w:val="hybridMultilevel"/>
    <w:tmpl w:val="31504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6E95"/>
    <w:multiLevelType w:val="hybridMultilevel"/>
    <w:tmpl w:val="C504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34DD6"/>
    <w:multiLevelType w:val="hybridMultilevel"/>
    <w:tmpl w:val="B1F20DA8"/>
    <w:lvl w:ilvl="0" w:tplc="29CCF8E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247EE"/>
    <w:multiLevelType w:val="hybridMultilevel"/>
    <w:tmpl w:val="8DD2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67A79"/>
    <w:multiLevelType w:val="hybridMultilevel"/>
    <w:tmpl w:val="894EF99A"/>
    <w:lvl w:ilvl="0" w:tplc="29CCF8E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C7E2D"/>
    <w:multiLevelType w:val="hybridMultilevel"/>
    <w:tmpl w:val="31C8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A16C6"/>
    <w:multiLevelType w:val="hybridMultilevel"/>
    <w:tmpl w:val="DA36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12E50"/>
    <w:multiLevelType w:val="hybridMultilevel"/>
    <w:tmpl w:val="D9EE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446E4"/>
    <w:multiLevelType w:val="hybridMultilevel"/>
    <w:tmpl w:val="D646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E36F0"/>
    <w:multiLevelType w:val="hybridMultilevel"/>
    <w:tmpl w:val="F0C2D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819767">
    <w:abstractNumId w:val="8"/>
  </w:num>
  <w:num w:numId="2" w16cid:durableId="658848314">
    <w:abstractNumId w:val="6"/>
  </w:num>
  <w:num w:numId="3" w16cid:durableId="983848249">
    <w:abstractNumId w:val="5"/>
  </w:num>
  <w:num w:numId="4" w16cid:durableId="981737773">
    <w:abstractNumId w:val="4"/>
  </w:num>
  <w:num w:numId="5" w16cid:durableId="510535332">
    <w:abstractNumId w:val="7"/>
  </w:num>
  <w:num w:numId="6" w16cid:durableId="1945843445">
    <w:abstractNumId w:val="3"/>
  </w:num>
  <w:num w:numId="7" w16cid:durableId="1061830513">
    <w:abstractNumId w:val="2"/>
  </w:num>
  <w:num w:numId="8" w16cid:durableId="637076854">
    <w:abstractNumId w:val="1"/>
  </w:num>
  <w:num w:numId="9" w16cid:durableId="2051102992">
    <w:abstractNumId w:val="0"/>
  </w:num>
  <w:num w:numId="10" w16cid:durableId="417869352">
    <w:abstractNumId w:val="22"/>
  </w:num>
  <w:num w:numId="11" w16cid:durableId="2031644022">
    <w:abstractNumId w:val="18"/>
  </w:num>
  <w:num w:numId="12" w16cid:durableId="1141920878">
    <w:abstractNumId w:val="16"/>
  </w:num>
  <w:num w:numId="13" w16cid:durableId="509563284">
    <w:abstractNumId w:val="15"/>
  </w:num>
  <w:num w:numId="14" w16cid:durableId="2048948662">
    <w:abstractNumId w:val="9"/>
  </w:num>
  <w:num w:numId="15" w16cid:durableId="2128379818">
    <w:abstractNumId w:val="20"/>
  </w:num>
  <w:num w:numId="16" w16cid:durableId="178274990">
    <w:abstractNumId w:val="13"/>
  </w:num>
  <w:num w:numId="17" w16cid:durableId="1048144698">
    <w:abstractNumId w:val="17"/>
  </w:num>
  <w:num w:numId="18" w16cid:durableId="385757534">
    <w:abstractNumId w:val="14"/>
  </w:num>
  <w:num w:numId="19" w16cid:durableId="1514764192">
    <w:abstractNumId w:val="10"/>
  </w:num>
  <w:num w:numId="20" w16cid:durableId="135343139">
    <w:abstractNumId w:val="21"/>
  </w:num>
  <w:num w:numId="21" w16cid:durableId="1693804344">
    <w:abstractNumId w:val="12"/>
  </w:num>
  <w:num w:numId="22" w16cid:durableId="1366444344">
    <w:abstractNumId w:val="19"/>
  </w:num>
  <w:num w:numId="23" w16cid:durableId="1253973059">
    <w:abstractNumId w:val="23"/>
  </w:num>
  <w:num w:numId="24" w16cid:durableId="1000743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140"/>
    <w:rsid w:val="00034616"/>
    <w:rsid w:val="0006063C"/>
    <w:rsid w:val="0015074B"/>
    <w:rsid w:val="0029639D"/>
    <w:rsid w:val="00326F90"/>
    <w:rsid w:val="005F45B8"/>
    <w:rsid w:val="0061661E"/>
    <w:rsid w:val="00684CD2"/>
    <w:rsid w:val="008A0958"/>
    <w:rsid w:val="00914F93"/>
    <w:rsid w:val="00AA1D8D"/>
    <w:rsid w:val="00B44551"/>
    <w:rsid w:val="00B47730"/>
    <w:rsid w:val="00CB0664"/>
    <w:rsid w:val="00D853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9B98C"/>
  <w14:defaultImageDpi w14:val="300"/>
  <w15:docId w15:val="{5AEBC797-CDE1-45B7-98BF-5F670047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166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revenue/sites/maine.gov.revenue/files/inline-files/bull1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lc-ch-file01.lcch.local\Users\chweno\My%20Documents\Tax%20Abatement\Lincoln%20County%20Tax%20Abatement%20Appl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ine.gov/revenue/sites/maine.gov.revenue/files/inline-files/abatementap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Wendy Nowell</cp:lastModifiedBy>
  <cp:revision>2</cp:revision>
  <dcterms:created xsi:type="dcterms:W3CDTF">2025-11-25T20:05:00Z</dcterms:created>
  <dcterms:modified xsi:type="dcterms:W3CDTF">2025-11-25T20:05:00Z</dcterms:modified>
  <cp:category/>
</cp:coreProperties>
</file>